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2" w:type="dxa"/>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434"/>
        <w:gridCol w:w="1582"/>
        <w:gridCol w:w="1005"/>
        <w:gridCol w:w="2307"/>
        <w:gridCol w:w="559"/>
        <w:gridCol w:w="14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blCellSpacing w:w="0" w:type="dxa"/>
        </w:trPr>
        <w:tc>
          <w:tcPr>
            <w:tcW w:w="1434" w:type="dxa"/>
            <w:vMerge w:val="restart"/>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20"/>
                <w:szCs w:val="20"/>
              </w:rPr>
            </w:pPr>
            <w:r>
              <w:rPr>
                <w:rFonts w:ascii="宋体" w:hAnsi="宋体" w:eastAsia="宋体" w:cs="宋体"/>
                <w:color w:val="000000"/>
                <w:kern w:val="0"/>
                <w:sz w:val="20"/>
                <w:szCs w:val="20"/>
                <w:lang w:val="en-US" w:eastAsia="zh-CN" w:bidi="ar"/>
              </w:rPr>
              <w:t>招聘</w:t>
            </w:r>
            <w:r>
              <w:rPr>
                <w:rFonts w:ascii="宋体" w:hAnsi="宋体" w:eastAsia="宋体" w:cs="宋体"/>
                <w:color w:val="000000"/>
                <w:kern w:val="0"/>
                <w:sz w:val="20"/>
                <w:szCs w:val="20"/>
                <w:lang w:val="en-US" w:eastAsia="zh-CN" w:bidi="ar"/>
              </w:rPr>
              <w:br w:type="textWrapping"/>
            </w:r>
            <w:r>
              <w:rPr>
                <w:rFonts w:ascii="宋体" w:hAnsi="宋体" w:eastAsia="宋体" w:cs="宋体"/>
                <w:color w:val="000000"/>
                <w:kern w:val="0"/>
                <w:sz w:val="20"/>
                <w:szCs w:val="20"/>
                <w:lang w:val="en-US" w:eastAsia="zh-CN" w:bidi="ar"/>
              </w:rPr>
              <w:t>类别</w:t>
            </w:r>
          </w:p>
        </w:tc>
        <w:tc>
          <w:tcPr>
            <w:tcW w:w="1582" w:type="dxa"/>
            <w:vMerge w:val="restart"/>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20"/>
                <w:szCs w:val="20"/>
              </w:rPr>
            </w:pPr>
            <w:r>
              <w:rPr>
                <w:rFonts w:ascii="宋体" w:hAnsi="宋体" w:eastAsia="宋体" w:cs="宋体"/>
                <w:color w:val="000000"/>
                <w:kern w:val="0"/>
                <w:sz w:val="20"/>
                <w:szCs w:val="20"/>
                <w:lang w:val="en-US" w:eastAsia="zh-CN" w:bidi="ar"/>
              </w:rPr>
              <w:t>岗位代码</w:t>
            </w:r>
          </w:p>
        </w:tc>
        <w:tc>
          <w:tcPr>
            <w:tcW w:w="1005" w:type="dxa"/>
            <w:vMerge w:val="restart"/>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20"/>
                <w:szCs w:val="20"/>
              </w:rPr>
            </w:pPr>
            <w:r>
              <w:rPr>
                <w:rFonts w:ascii="宋体" w:hAnsi="宋体" w:eastAsia="宋体" w:cs="宋体"/>
                <w:color w:val="000000"/>
                <w:kern w:val="0"/>
                <w:sz w:val="20"/>
                <w:szCs w:val="20"/>
                <w:lang w:val="en-US" w:eastAsia="zh-CN" w:bidi="ar"/>
              </w:rPr>
              <w:t>招聘岗位</w:t>
            </w:r>
          </w:p>
        </w:tc>
        <w:tc>
          <w:tcPr>
            <w:tcW w:w="2307" w:type="dxa"/>
            <w:vMerge w:val="restart"/>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20"/>
                <w:szCs w:val="20"/>
              </w:rPr>
            </w:pPr>
            <w:r>
              <w:rPr>
                <w:rFonts w:ascii="宋体" w:hAnsi="宋体" w:eastAsia="宋体" w:cs="宋体"/>
                <w:color w:val="000000"/>
                <w:kern w:val="0"/>
                <w:sz w:val="20"/>
                <w:szCs w:val="20"/>
                <w:lang w:val="en-US" w:eastAsia="zh-CN" w:bidi="ar"/>
              </w:rPr>
              <w:t>招聘专业</w:t>
            </w:r>
          </w:p>
        </w:tc>
        <w:tc>
          <w:tcPr>
            <w:tcW w:w="559" w:type="dxa"/>
            <w:vMerge w:val="restart"/>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20"/>
                <w:szCs w:val="20"/>
              </w:rPr>
            </w:pPr>
            <w:r>
              <w:rPr>
                <w:rFonts w:ascii="宋体" w:hAnsi="宋体" w:eastAsia="宋体" w:cs="宋体"/>
                <w:color w:val="000000"/>
                <w:kern w:val="0"/>
                <w:sz w:val="20"/>
                <w:szCs w:val="20"/>
                <w:lang w:val="en-US" w:eastAsia="zh-CN" w:bidi="ar"/>
              </w:rPr>
              <w:t>招聘计划</w:t>
            </w:r>
          </w:p>
        </w:tc>
        <w:tc>
          <w:tcPr>
            <w:tcW w:w="1445" w:type="dxa"/>
            <w:vMerge w:val="restart"/>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20"/>
                <w:szCs w:val="20"/>
              </w:rPr>
            </w:pPr>
            <w:r>
              <w:rPr>
                <w:rFonts w:ascii="宋体" w:hAnsi="宋体" w:eastAsia="宋体" w:cs="宋体"/>
                <w:color w:val="000000"/>
                <w:kern w:val="0"/>
                <w:sz w:val="20"/>
                <w:szCs w:val="20"/>
                <w:lang w:val="en-US" w:eastAsia="zh-CN" w:bidi="ar"/>
              </w:rPr>
              <w:t>招聘对象及条件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0" w:hRule="atLeast"/>
          <w:tblCellSpacing w:w="0" w:type="dxa"/>
        </w:trPr>
        <w:tc>
          <w:tcPr>
            <w:tcW w:w="1434" w:type="dxa"/>
            <w:vMerge w:val="continue"/>
            <w:tcBorders>
              <w:left w:val="single" w:color="000000" w:sz="12" w:space="0"/>
              <w:bottom w:val="single" w:color="000000" w:sz="12" w:space="0"/>
              <w:right w:val="single" w:color="000000" w:sz="12" w:space="0"/>
            </w:tcBorders>
            <w:shd w:val="clear"/>
            <w:vAlign w:val="center"/>
          </w:tcPr>
          <w:p>
            <w:pPr>
              <w:jc w:val="center"/>
              <w:rPr>
                <w:rFonts w:hint="eastAsia" w:ascii="宋体"/>
                <w:color w:val="000000"/>
                <w:sz w:val="20"/>
                <w:szCs w:val="20"/>
              </w:rPr>
            </w:pPr>
          </w:p>
        </w:tc>
        <w:tc>
          <w:tcPr>
            <w:tcW w:w="1582" w:type="dxa"/>
            <w:vMerge w:val="continue"/>
            <w:tcBorders>
              <w:top w:val="single" w:color="000000" w:sz="12" w:space="0"/>
              <w:bottom w:val="single" w:color="000000" w:sz="12" w:space="0"/>
              <w:right w:val="single" w:color="000000" w:sz="12" w:space="0"/>
            </w:tcBorders>
            <w:shd w:val="clear"/>
            <w:vAlign w:val="center"/>
          </w:tcPr>
          <w:p>
            <w:pPr>
              <w:jc w:val="center"/>
              <w:rPr>
                <w:rFonts w:hint="eastAsia" w:ascii="宋体"/>
                <w:color w:val="000000"/>
                <w:sz w:val="20"/>
                <w:szCs w:val="20"/>
              </w:rPr>
            </w:pPr>
          </w:p>
        </w:tc>
        <w:tc>
          <w:tcPr>
            <w:tcW w:w="1005" w:type="dxa"/>
            <w:vMerge w:val="continue"/>
            <w:tcBorders>
              <w:top w:val="single" w:color="000000" w:sz="12" w:space="0"/>
              <w:bottom w:val="single" w:color="000000" w:sz="12" w:space="0"/>
              <w:right w:val="single" w:color="000000" w:sz="12" w:space="0"/>
            </w:tcBorders>
            <w:shd w:val="clear"/>
            <w:vAlign w:val="center"/>
          </w:tcPr>
          <w:p>
            <w:pPr>
              <w:jc w:val="center"/>
              <w:rPr>
                <w:rFonts w:hint="eastAsia" w:ascii="宋体"/>
                <w:color w:val="000000"/>
                <w:sz w:val="20"/>
                <w:szCs w:val="20"/>
              </w:rPr>
            </w:pPr>
          </w:p>
        </w:tc>
        <w:tc>
          <w:tcPr>
            <w:tcW w:w="2307" w:type="dxa"/>
            <w:vMerge w:val="continue"/>
            <w:tcBorders>
              <w:top w:val="single" w:color="000000" w:sz="12" w:space="0"/>
              <w:bottom w:val="single" w:color="000000" w:sz="12" w:space="0"/>
              <w:right w:val="single" w:color="000000" w:sz="12" w:space="0"/>
            </w:tcBorders>
            <w:shd w:val="clear"/>
            <w:vAlign w:val="center"/>
          </w:tcPr>
          <w:p>
            <w:pPr>
              <w:jc w:val="center"/>
              <w:rPr>
                <w:rFonts w:hint="eastAsia" w:ascii="宋体"/>
                <w:color w:val="000000"/>
                <w:sz w:val="20"/>
                <w:szCs w:val="20"/>
              </w:rPr>
            </w:pPr>
          </w:p>
        </w:tc>
        <w:tc>
          <w:tcPr>
            <w:tcW w:w="559" w:type="dxa"/>
            <w:vMerge w:val="continue"/>
            <w:tcBorders>
              <w:top w:val="single" w:color="000000" w:sz="12" w:space="0"/>
              <w:bottom w:val="single" w:color="000000" w:sz="12" w:space="0"/>
              <w:right w:val="single" w:color="000000" w:sz="12" w:space="0"/>
            </w:tcBorders>
            <w:shd w:val="clear"/>
            <w:vAlign w:val="center"/>
          </w:tcPr>
          <w:p>
            <w:pPr>
              <w:jc w:val="center"/>
              <w:rPr>
                <w:rFonts w:hint="eastAsia" w:ascii="宋体"/>
                <w:color w:val="000000"/>
                <w:sz w:val="20"/>
                <w:szCs w:val="20"/>
              </w:rPr>
            </w:pPr>
          </w:p>
        </w:tc>
        <w:tc>
          <w:tcPr>
            <w:tcW w:w="1445" w:type="dxa"/>
            <w:vMerge w:val="continue"/>
            <w:tcBorders>
              <w:top w:val="single" w:color="000000" w:sz="12" w:space="0"/>
              <w:bottom w:val="single" w:color="000000" w:sz="12" w:space="0"/>
              <w:right w:val="single" w:color="000000" w:sz="12" w:space="0"/>
            </w:tcBorders>
            <w:shd w:val="clear"/>
            <w:vAlign w:val="center"/>
          </w:tcPr>
          <w:p>
            <w:pPr>
              <w:jc w:val="center"/>
              <w:rPr>
                <w:rFonts w:hint="eastAsia" w:ascii="宋体"/>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320" w:hRule="atLeast"/>
          <w:tblCellSpacing w:w="0" w:type="dxa"/>
        </w:trPr>
        <w:tc>
          <w:tcPr>
            <w:tcW w:w="1434" w:type="dxa"/>
            <w:vMerge w:val="restart"/>
            <w:tcBorders>
              <w:left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中学教育、小学教育、学前教育教师（共82人）</w:t>
            </w: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中文</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中国语言文学类，人文教育，华文教育，汉语国际教育硕士、教育硕士（语文学科教学）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15</w:t>
            </w:r>
          </w:p>
        </w:tc>
        <w:tc>
          <w:tcPr>
            <w:tcW w:w="1445" w:type="dxa"/>
            <w:vMerge w:val="restart"/>
            <w:tcBorders>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全日制普通高校研究生学历、硕士及以上学位毕业生或教育部直属重点师范大学全日制本科及以上学历、学士及以上学位毕业生，年龄在35周岁以下，专业对口，具有相应任教学段及学科的教师资格。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60"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2</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数学</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数学类、教育硕士（数学学科教学）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15</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340"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英语</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英语，应用英语，实用英语，商务英语，外贸英语，旅游英语学科教学（英语），英语教育，英语（笔译）、英语（口译）、英语（翻译）、教育硕士（英语学科教学）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8</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0"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4</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物理</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物理学类、教育硕士（物理学科教学）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1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5</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化学</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化学类、教育硕士（化学学科教学）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60"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6</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体育</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both"/>
              <w:textAlignment w:val="center"/>
              <w:rPr>
                <w:color w:val="000000"/>
                <w:sz w:val="18"/>
                <w:szCs w:val="18"/>
              </w:rPr>
            </w:pPr>
            <w:r>
              <w:rPr>
                <w:rFonts w:ascii="宋体" w:hAnsi="宋体" w:eastAsia="宋体" w:cs="宋体"/>
                <w:color w:val="000000"/>
                <w:kern w:val="0"/>
                <w:sz w:val="18"/>
                <w:szCs w:val="18"/>
                <w:lang w:val="en-US" w:eastAsia="zh-CN" w:bidi="ar"/>
              </w:rPr>
              <w:t>体育学类、教育硕士（体育学科教学）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4</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70"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7</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音乐</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both"/>
              <w:textAlignment w:val="center"/>
              <w:rPr>
                <w:color w:val="000000"/>
                <w:sz w:val="18"/>
                <w:szCs w:val="18"/>
              </w:rPr>
            </w:pPr>
            <w:r>
              <w:rPr>
                <w:rFonts w:ascii="宋体" w:hAnsi="宋体" w:eastAsia="宋体" w:cs="宋体"/>
                <w:color w:val="000000"/>
                <w:kern w:val="0"/>
                <w:sz w:val="18"/>
                <w:szCs w:val="18"/>
                <w:lang w:val="en-US" w:eastAsia="zh-CN" w:bidi="ar"/>
              </w:rPr>
              <w:t>表演艺术类，艺术教育，音乐教育，舞蹈教育、教育硕士（音乐学科教学）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8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8</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美术</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艺术设计类（不含音乐教育）、教育硕士（美术学科教学）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8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9</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心理学</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心理学类，心理咨询与心理健康教育</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8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10</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政治</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政治学类、教育硕士（思政学科教学）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90"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11</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地理</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地理科学类、教育硕士（地理学科教学）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60"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12</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生物</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生物科学类，生物工程类、教育硕士（生物学科教学）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15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13</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历史</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历史学类，政史教育，人文教育、教育硕士（历史学科教学）</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41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14</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信息技术</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计算机科学与技术类，计算机软件类，计算机网络技术类，计算机信息管理类，计算机多媒体技术类，计算机硬件技术类，教育技术学，现代教育技术、教育硕士（现代教育技术）</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3</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15</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学前教育</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学前教育，学前教育学、教育硕士（学前教育）</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10</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60" w:hRule="atLeast"/>
          <w:tblCellSpacing w:w="0" w:type="dxa"/>
        </w:trPr>
        <w:tc>
          <w:tcPr>
            <w:tcW w:w="1434" w:type="dxa"/>
            <w:vMerge w:val="restart"/>
            <w:tcBorders>
              <w:left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特殊教育教师（共4人）</w:t>
            </w: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16</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特殊教育</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特殊教育，特殊教育学、教育硕士（特殊教育）</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2</w:t>
            </w:r>
          </w:p>
        </w:tc>
        <w:tc>
          <w:tcPr>
            <w:tcW w:w="1445" w:type="dxa"/>
            <w:vMerge w:val="continue"/>
            <w:tcBorders>
              <w:right w:val="single" w:color="000000" w:sz="12" w:space="0"/>
            </w:tcBorders>
            <w:shd w:val="clear"/>
            <w:vAlign w:val="center"/>
          </w:tcPr>
          <w:p>
            <w:pPr>
              <w:jc w:val="center"/>
              <w:rPr>
                <w:rFonts w:hint="eastAsia" w:ascii="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475" w:hRule="atLeast"/>
          <w:tblCellSpacing w:w="0" w:type="dxa"/>
        </w:trPr>
        <w:tc>
          <w:tcPr>
            <w:tcW w:w="1434" w:type="dxa"/>
            <w:vMerge w:val="continue"/>
            <w:tcBorders>
              <w:left w:val="single" w:color="000000" w:sz="12" w:space="0"/>
              <w:right w:val="single" w:color="000000" w:sz="12" w:space="0"/>
            </w:tcBorders>
            <w:shd w:val="clear"/>
            <w:vAlign w:val="center"/>
          </w:tcPr>
          <w:p>
            <w:pPr>
              <w:jc w:val="center"/>
              <w:rPr>
                <w:rFonts w:hint="eastAsia" w:ascii="宋体"/>
                <w:color w:val="000000"/>
                <w:sz w:val="18"/>
                <w:szCs w:val="18"/>
              </w:rPr>
            </w:pPr>
          </w:p>
        </w:tc>
        <w:tc>
          <w:tcPr>
            <w:tcW w:w="1582"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17</w:t>
            </w:r>
          </w:p>
        </w:tc>
        <w:tc>
          <w:tcPr>
            <w:tcW w:w="100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自闭症</w:t>
            </w:r>
          </w:p>
        </w:tc>
        <w:tc>
          <w:tcPr>
            <w:tcW w:w="2307"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儿童康复、康复医学，康复医学与理疗学，康复治疗学特殊教育、特殊教育（限自闭症方向、儿童康复方向、特殊儿童心理与教育方向）、人群康复、听力语言康复技术、音乐康复技术、自闭症、</w:t>
            </w:r>
          </w:p>
        </w:tc>
        <w:tc>
          <w:tcPr>
            <w:tcW w:w="559"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color w:val="000000"/>
                <w:sz w:val="18"/>
                <w:szCs w:val="18"/>
              </w:rPr>
            </w:pPr>
            <w:r>
              <w:rPr>
                <w:rFonts w:ascii="宋体" w:hAnsi="宋体" w:eastAsia="宋体" w:cs="宋体"/>
                <w:color w:val="000000"/>
                <w:kern w:val="0"/>
                <w:sz w:val="18"/>
                <w:szCs w:val="18"/>
                <w:lang w:val="en-US" w:eastAsia="zh-CN" w:bidi="ar"/>
              </w:rPr>
              <w:t>2</w:t>
            </w:r>
          </w:p>
        </w:tc>
        <w:tc>
          <w:tcPr>
            <w:tcW w:w="1445" w:type="dxa"/>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18"/>
                <w:szCs w:val="18"/>
              </w:rPr>
            </w:pPr>
            <w:r>
              <w:rPr>
                <w:rFonts w:ascii="宋体" w:hAnsi="宋体" w:eastAsia="宋体" w:cs="宋体"/>
                <w:color w:val="000000"/>
                <w:kern w:val="0"/>
                <w:sz w:val="18"/>
                <w:szCs w:val="18"/>
                <w:lang w:val="en-US" w:eastAsia="zh-CN" w:bidi="ar"/>
              </w:rPr>
              <w:t>全日制普通高校大专及以上学历毕业生，年龄在35周岁以下，专业对口，具有相应教师资格证。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711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Gaivn</dc:creator>
  <cp:lastModifiedBy>Gaivn</cp:lastModifiedBy>
  <dcterms:modified xsi:type="dcterms:W3CDTF">2017-12-21T03:20:49Z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