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2017年昌吉市新建双语幼儿园选聘编外教职工职位表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701"/>
        <w:gridCol w:w="709"/>
        <w:gridCol w:w="709"/>
        <w:gridCol w:w="708"/>
        <w:gridCol w:w="892"/>
        <w:gridCol w:w="1181"/>
        <w:gridCol w:w="2944"/>
        <w:gridCol w:w="1106"/>
        <w:gridCol w:w="713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870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职位代码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职位名称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族别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8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94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110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  <w:r>
              <w:rPr>
                <w:rFonts w:hint="eastAsia"/>
                <w:sz w:val="24"/>
                <w:szCs w:val="24"/>
                <w:lang w:eastAsia="zh-CN"/>
              </w:rPr>
              <w:t>及相关证书</w:t>
            </w:r>
          </w:p>
        </w:tc>
        <w:tc>
          <w:tcPr>
            <w:tcW w:w="7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2127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学前专任教师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35周岁及以下</w:t>
            </w:r>
          </w:p>
        </w:tc>
        <w:tc>
          <w:tcPr>
            <w:tcW w:w="1181" w:type="dxa"/>
          </w:tcPr>
          <w:p>
            <w:pPr>
              <w:tabs>
                <w:tab w:val="left" w:pos="48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tcW w:w="294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1、中专学历必须为学前教育、幼儿教育专业，2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大专及以上学历的除学前教育、幼儿教育专业可报名</w:t>
            </w:r>
            <w:r>
              <w:rPr>
                <w:rFonts w:hint="eastAsia"/>
                <w:sz w:val="24"/>
                <w:szCs w:val="24"/>
                <w:lang w:eastAsia="zh-CN"/>
              </w:rPr>
              <w:t>外</w:t>
            </w:r>
            <w:r>
              <w:rPr>
                <w:rFonts w:hint="eastAsia"/>
                <w:sz w:val="24"/>
                <w:szCs w:val="24"/>
              </w:rPr>
              <w:t>，全日制普通师范院校的音乐</w:t>
            </w: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sz w:val="24"/>
                <w:szCs w:val="24"/>
              </w:rPr>
              <w:t>、美术</w:t>
            </w: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sz w:val="24"/>
                <w:szCs w:val="24"/>
              </w:rPr>
              <w:t>专业均可报名。</w:t>
            </w:r>
          </w:p>
        </w:tc>
        <w:tc>
          <w:tcPr>
            <w:tcW w:w="110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具有相应教师资格证书</w:t>
            </w:r>
          </w:p>
        </w:tc>
        <w:tc>
          <w:tcPr>
            <w:tcW w:w="7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101B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学前专任教师</w:t>
            </w:r>
            <w:r>
              <w:rPr>
                <w:rFonts w:hint="eastAsia"/>
                <w:sz w:val="24"/>
                <w:szCs w:val="24"/>
                <w:lang w:eastAsia="zh-CN"/>
              </w:rPr>
              <w:t>（六工庙村双语幼儿园、州公务员三期双语幼儿园各一名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/>
                <w:sz w:val="24"/>
                <w:szCs w:val="24"/>
                <w:lang w:eastAsia="zh-CN"/>
              </w:rPr>
              <w:t>阿什里乡胡根村幼儿园教学点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1名，阿什里乡努尔加村分园2名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892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35周岁及以下</w:t>
            </w:r>
          </w:p>
        </w:tc>
        <w:tc>
          <w:tcPr>
            <w:tcW w:w="1181" w:type="dxa"/>
            <w:textDirection w:val="lrTb"/>
            <w:vAlign w:val="top"/>
          </w:tcPr>
          <w:p>
            <w:pPr>
              <w:tabs>
                <w:tab w:val="left" w:pos="48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tcW w:w="2944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1、中专学历必须为学前教育、幼儿教育专业，2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大专及以上学历的除学前教育、幼儿教育专业可报名</w:t>
            </w:r>
            <w:r>
              <w:rPr>
                <w:rFonts w:hint="eastAsia"/>
                <w:sz w:val="24"/>
                <w:szCs w:val="24"/>
                <w:lang w:eastAsia="zh-CN"/>
              </w:rPr>
              <w:t>外</w:t>
            </w:r>
            <w:r>
              <w:rPr>
                <w:rFonts w:hint="eastAsia"/>
                <w:sz w:val="24"/>
                <w:szCs w:val="24"/>
              </w:rPr>
              <w:t>，全日制普通师范院校的音乐</w:t>
            </w: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sz w:val="24"/>
                <w:szCs w:val="24"/>
              </w:rPr>
              <w:t>、美术</w:t>
            </w: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sz w:val="24"/>
                <w:szCs w:val="24"/>
              </w:rPr>
              <w:t>专业均可报名。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具有相应教师资格证书</w:t>
            </w:r>
          </w:p>
        </w:tc>
        <w:tc>
          <w:tcPr>
            <w:tcW w:w="713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MHK等级水平必须达到三级乙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及以上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或普通话水平达到二级乙等及以上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保育员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70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40周岁及以下</w:t>
            </w:r>
          </w:p>
        </w:tc>
        <w:tc>
          <w:tcPr>
            <w:tcW w:w="118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tcW w:w="294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10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7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102B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保育员</w:t>
            </w:r>
            <w:r>
              <w:rPr>
                <w:rFonts w:hint="eastAsia"/>
                <w:sz w:val="24"/>
                <w:szCs w:val="24"/>
                <w:lang w:eastAsia="zh-CN"/>
              </w:rPr>
              <w:t>（六工庙村双语幼儿园、州公务员三期双语幼儿园、阿什里乡胡根村幼儿园教学点、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阿什里乡努尔加村分园各1名）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少数民族</w:t>
            </w:r>
          </w:p>
        </w:tc>
        <w:tc>
          <w:tcPr>
            <w:tcW w:w="892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40周岁及以下</w:t>
            </w:r>
          </w:p>
        </w:tc>
        <w:tc>
          <w:tcPr>
            <w:tcW w:w="1181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tcW w:w="2944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106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713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HK等级水平必须达到三级乙及以上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或普通话水平达到三级甲等及以上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保健医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40周岁及以下</w:t>
            </w:r>
          </w:p>
        </w:tc>
        <w:tc>
          <w:tcPr>
            <w:tcW w:w="118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中专及以上学历</w:t>
            </w:r>
          </w:p>
        </w:tc>
        <w:tc>
          <w:tcPr>
            <w:tcW w:w="294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护理学、药学类专业</w:t>
            </w:r>
          </w:p>
        </w:tc>
        <w:tc>
          <w:tcPr>
            <w:tcW w:w="110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具有护士上岗证书</w:t>
            </w:r>
          </w:p>
        </w:tc>
        <w:tc>
          <w:tcPr>
            <w:tcW w:w="7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财务人员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40周岁及以下</w:t>
            </w:r>
          </w:p>
        </w:tc>
        <w:tc>
          <w:tcPr>
            <w:tcW w:w="118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全日制普通高等院校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4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会计、审计类专业</w:t>
            </w:r>
          </w:p>
        </w:tc>
        <w:tc>
          <w:tcPr>
            <w:tcW w:w="110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具有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助理级会计</w:t>
            </w:r>
            <w:r>
              <w:rPr>
                <w:rFonts w:hint="eastAsia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/>
                <w:sz w:val="21"/>
                <w:szCs w:val="21"/>
              </w:rPr>
              <w:t>职称书</w:t>
            </w:r>
          </w:p>
        </w:tc>
        <w:tc>
          <w:tcPr>
            <w:tcW w:w="7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昌吉州户籍</w:t>
            </w:r>
          </w:p>
        </w:tc>
        <w:tc>
          <w:tcPr>
            <w:tcW w:w="2127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36A0"/>
    <w:rsid w:val="00026BB7"/>
    <w:rsid w:val="00042DEA"/>
    <w:rsid w:val="00075BE0"/>
    <w:rsid w:val="00083C02"/>
    <w:rsid w:val="000B4A88"/>
    <w:rsid w:val="00137EF2"/>
    <w:rsid w:val="00142D2B"/>
    <w:rsid w:val="0019728A"/>
    <w:rsid w:val="001F6438"/>
    <w:rsid w:val="0028438D"/>
    <w:rsid w:val="002959B8"/>
    <w:rsid w:val="00306AC5"/>
    <w:rsid w:val="00313C87"/>
    <w:rsid w:val="003A737D"/>
    <w:rsid w:val="004707BF"/>
    <w:rsid w:val="00484AD0"/>
    <w:rsid w:val="005302FE"/>
    <w:rsid w:val="005869E8"/>
    <w:rsid w:val="005970D6"/>
    <w:rsid w:val="005B108F"/>
    <w:rsid w:val="005B316A"/>
    <w:rsid w:val="005B579F"/>
    <w:rsid w:val="005C1040"/>
    <w:rsid w:val="0067252D"/>
    <w:rsid w:val="00687E2C"/>
    <w:rsid w:val="006A262B"/>
    <w:rsid w:val="006B0F6E"/>
    <w:rsid w:val="006B3971"/>
    <w:rsid w:val="006B5EA5"/>
    <w:rsid w:val="006B7385"/>
    <w:rsid w:val="006C7779"/>
    <w:rsid w:val="006D018C"/>
    <w:rsid w:val="006F0A77"/>
    <w:rsid w:val="00763C2A"/>
    <w:rsid w:val="007A5154"/>
    <w:rsid w:val="007D20E0"/>
    <w:rsid w:val="007E5FB0"/>
    <w:rsid w:val="00853242"/>
    <w:rsid w:val="008A116E"/>
    <w:rsid w:val="008A3D2A"/>
    <w:rsid w:val="00922222"/>
    <w:rsid w:val="00973B20"/>
    <w:rsid w:val="00A27209"/>
    <w:rsid w:val="00A9345A"/>
    <w:rsid w:val="00A93E1A"/>
    <w:rsid w:val="00B466F7"/>
    <w:rsid w:val="00B50244"/>
    <w:rsid w:val="00B547A8"/>
    <w:rsid w:val="00BC57F3"/>
    <w:rsid w:val="00BD36A0"/>
    <w:rsid w:val="00BD61A4"/>
    <w:rsid w:val="00BE6BF3"/>
    <w:rsid w:val="00BF5F00"/>
    <w:rsid w:val="00C97AFC"/>
    <w:rsid w:val="00CB2AAB"/>
    <w:rsid w:val="00CD285C"/>
    <w:rsid w:val="00D01F28"/>
    <w:rsid w:val="00D07726"/>
    <w:rsid w:val="00D7319C"/>
    <w:rsid w:val="00D84F2D"/>
    <w:rsid w:val="00D91BE9"/>
    <w:rsid w:val="00DD7F0D"/>
    <w:rsid w:val="00DF1065"/>
    <w:rsid w:val="00E502EA"/>
    <w:rsid w:val="00F4023F"/>
    <w:rsid w:val="2CD07FC1"/>
    <w:rsid w:val="35C12C73"/>
    <w:rsid w:val="474C5DB8"/>
    <w:rsid w:val="4A1A4C52"/>
    <w:rsid w:val="4BE209BA"/>
    <w:rsid w:val="559C7B0A"/>
    <w:rsid w:val="70B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348</Characters>
  <Lines>2</Lines>
  <Paragraphs>1</Paragraphs>
  <ScaleCrop>false</ScaleCrop>
  <LinksUpToDate>false</LinksUpToDate>
  <CharactersWithSpaces>407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2017-06-11T10:04:00Z</dcterms:created>
  <dc:creator>微软用户</dc:creator>
  <cp:lastModifiedBy>Administrator</cp:lastModifiedBy>
  <cp:lastPrinted>2017-06-12T02:30:00Z</cp:lastPrinted>
  <dcterms:modified xsi:type="dcterms:W3CDTF">2017-06-12T11:07:09Z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